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35" w:history="1">
        <w:r>
          <w:rPr>
            <w:rFonts w:ascii="Arial" w:hAnsi="Arial" w:eastAsia="Arial" w:cs="Arial"/>
            <w:color w:val="155CAA"/>
            <w:u w:val="single"/>
          </w:rPr>
          <w:t xml:space="preserve">1 Strategische heroriëntatie (20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35"/>
      <w:r w:rsidRPr="00A448AC">
        <w:rPr>
          <w:rFonts w:ascii="Arial" w:hAnsi="Arial" w:cs="Arial"/>
          <w:b/>
          <w:bCs/>
          <w:color w:val="303F4C"/>
          <w:lang w:val="en-US"/>
        </w:rPr>
        <w:t>Strategische heroriëntatie (20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20R.00795 Raadsvoorstel - Strategische Heroriëntatie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Gemeenteraad/2020/24-september/20:00/Raadsvoorstel-Strategische-Herorientatie/20R-00795-Raadsvoorstel-Strategische-Herorientatie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