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5" text:style-name="Internet_20_link" text:visited-style-name="Visited_20_Internet_20_Link">
              <text:span text:style-name="ListLabel_20_28">
                <text:span text:style-name="T8">1 Strategische heroriëntatie (20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5"/>
        Strategische heroriëntatie (20 februari 2023)
        <text:bookmark-end text:name="2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20R.00795 Raadsvoorstel - Strategische Heroriëntatie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0/24-september/20:00/Raadsvoorstel-Strategische-Herorientatie/20R-00795-Raadsvoorstel-Strategische-Herorientatie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2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1132742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1132742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