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4" text:style-name="Internet_20_link" text:visited-style-name="Visited_20_Internet_20_Link">
              <text:span text:style-name="ListLabel_20_28">
                <text:span text:style-name="T8">1 Ontwerp-wijzigingsbesluit Gemeenschappelijke Regeling AVU (24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4"/>
        Ontwerp-wijzigingsbesluit Gemeenschappelijke Regeling AVU (24 november 2022)
        <text:bookmark-end text:name="2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D22078613 Raadsvoorstel | Ontwerp-wijzigingsbesluit Gemeenschappelijke Regeling AVU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8613-Raadsvoorstel-Ontwerp-wijzigingsbesluit-Gemeenschappelijke-Regeling-AV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D22078613 Raadsvoorstel - Ontwerp-wijzigingsbesluit Gemeenschappelijke Regeling AVU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1-december/19:00/Raadsvoorstel-Ontwerp-wijzigingsbesluit-Gemeenschappelijke-Regeling-AVU/D22078613-Raadsvoorstel-Ontwerp-wijzigingsbesluit-Gemeenschappelijke-Regeling-AV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D22081548 Raadsbesluit - Ontwerp-wijzigingsbesluit Gemeenschappelijke Regeling AVU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81548-Raadsbesluit-Ontwerp-wijzigingsbesluit-Gemeenschappelijke-Regeling-AV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704" meta:non-whitespace-character-count="6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