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22:00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89" text:style-name="Internet_20_link" text:visited-style-name="Visited_20_Internet_20_Link">
              <text:span text:style-name="ListLabel_20_28">
                <text:span text:style-name="T8">1 Nota bodembeheer werkgebied ODRU - Woerden (20 september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89"/>
        Nota bodembeheer werkgebied ODRU - Woerden (20 september 2022)
        <text:bookmark-end text:name="1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D22071863 Raadsvoorstel - Nota bodembeheer werkgebied ODRU - Woerden
              <text:span text:style-name="T3"/>
            </text:p>
            <text:p text:style-name="P7"/>
          </table:table-cell>
          <table:table-cell table:style-name="Table4.A2" office:value-type="string">
            <text:p text:style-name="P8">20-09-2022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7,32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2-september/19:00/D22071863-Raadsvoorstel-Nota-bodembeheer-werkgebied-ODRU-Woerden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D22071867 Raadsbesluit | Nota bodembeheer werkgebied ODRU - 
              <text:s/>
              Woerden
              <text:span text:style-name="T3"/>
            </text:p>
            <text:p text:style-name="P7"/>
          </table:table-cell>
          <table:table-cell table:style-name="Table4.A2" office:value-type="string">
            <text:p text:style-name="P8">17-10-2022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109,03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3-oktober/20:00/Hamerstukken/D22071867-Raadsbesluit-Nota-bodembeheer-werkgebied-ODRU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0" meta:character-count="531" meta:non-whitespace-character-count="4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725371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725371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