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72" text:style-name="Internet_20_link" text:visited-style-name="Visited_20_Internet_20_Link">
              <text:span text:style-name="ListLabel_20_28">
                <text:span text:style-name="T8">1 Klachtenregeling gemeente Woerden 2024 (15 maart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72"/>
        Klachtenregeling gemeente Woerden 2024 (15 maart 2024)
        <text:bookmark-end text:name="57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15-03-2024 12:07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Klachtenregeling gemeente Woerden 2024 D24139118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112,41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Klachtenregeling-gemeente-Woerden-2024-D241391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Klachtenregeling gemeente Woerden 2024 D24136498 met datum van besluit
              <text:span text:style-name="T3"/>
            </text:p>
            <text:p text:style-name="P7"/>
          </table:table-cell>
          <table:table-cell table:style-name="Table4.A2" office:value-type="string">
            <text:p text:style-name="P8">13-06-2024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141,01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Klachtenregeling-gemeente-Woerden-2024-D24136498-met-datum-van-beslui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526" meta:non-whitespace-character-count="4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1819672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1819672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