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5" w:history="1">
        <w:r>
          <w:rPr>
            <w:rFonts w:ascii="Arial" w:hAnsi="Arial" w:eastAsia="Arial" w:cs="Arial"/>
            <w:color w:val="155CAA"/>
            <w:u w:val="single"/>
          </w:rPr>
          <w:t xml:space="preserve">1 Integraal beleidskader Maatschappelijke Agenda 2023-2027 (29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5"/>
      <w:r w:rsidRPr="00A448AC">
        <w:rPr>
          <w:rFonts w:ascii="Arial" w:hAnsi="Arial" w:cs="Arial"/>
          <w:b/>
          <w:bCs/>
          <w:color w:val="303F4C"/>
          <w:lang w:val="en-US"/>
        </w:rPr>
        <w:t>Integraal beleidskader Maatschappelijke Agenda 2023-2027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RV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D23094276 Raadsvoorstel - Integraal beleidskader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4276-RV-Integraal-beleidskader-Maatschappelijke-Agenda-2023-2027.pdf" TargetMode="External" /><Relationship Id="rId25" Type="http://schemas.openxmlformats.org/officeDocument/2006/relationships/hyperlink" Target="http://gemeenteraad.woerden.nl//stukken/Stukken-van-college-aan-raad/D23094276-Raadsvoorstel-Integraal-beleidskader-Maatschappelijke-Agenda-2023-2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