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2" text:style-name="Internet_20_link" text:visited-style-name="Visited_20_Internet_20_Link">
              <text:span text:style-name="ListLabel_20_28">
                <text:span text:style-name="T8">1 Integraal beleidskader Maatschappelijke Agenda 2023-2027 (29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2"/>
        Integraal beleidskader Maatschappelijke Agenda 2023-2027 (29 maart 2023)
        <text:bookmark-end text:name="2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D23094276 RV - Integraal beleidskader Maatschappelijke Agenda 2023-2027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206,59 KB</text:p>
          </table:table-cell>
          <table:table-cell table:style-name="Table4.A2" office:value-type="string">
            <text:p text:style-name="P33">
              <text:a xlink:type="simple" xlink:href="http://gemeenteraad.woerden.nl//stukken/D23094276-RV-Integraal-beleidskader-Maatschappelijke-Agenda-2023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D23094276 Raadsvoorstel - Integraal beleidskader Maatschappelijke Agenda 2023-2027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4276-Raadsvoorstel-Integraal-beleidskader-Maatschappelijke-Agenda-2023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D23094276 Raadsbesluit Integraal Beleidskader Maatschappelijke Agenda 2023-2027 signed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Hamerstukken/D23094276-Raadsbesluit-Integraal-Beleidskader-Maatschappelijke-Agenda-2023-2027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685" meta:non-whitespace-character-count="6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