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10" text:style-name="Internet_20_link" text:visited-style-name="Visited_20_Internet_20_Link">
              <text:span text:style-name="ListLabel_20_28">
                <text:span text:style-name="T8">1 Gebiedskeuze voor grootschalige windenergie (24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0"/>
        Gebiedskeuze voor grootschalige windenergie (24 november 2022)
        <text:bookmark-end text:name="2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D22078263 Raadsvoorstel | Gebiedskeuze voor grootschalige windenergie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10,63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8263-Raadsvoorstel-Gebiedskeuze-voor-grootschalige-windenerg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D22078263 RV - Gebiedskeuze voor grootschalige windenergie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588,01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1-december/19:00/Raadsvoorstel-Gebiedskeuze-voor-grootschalige-windenergie/D22078263-RV-Gebiedskeuze-voor-grootschalige-windenerg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D22080193 Raadsbesluit - Gebiedskeuze voor grootschalige windenergie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39,84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1-december/19:00/Raadsvoorstel-Gebiedskeuze-voor-grootschalige-windenergie/D22080193-Raadsbesluit-Gebiedskeuze-voor-grootschalige-windenergi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D22080193 Raadsbesluit - Gebiedskeuze voor grootschalige windenergie (geamendeerd)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154,68 KB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Raadsvoorstel-Gebiedskeuze-voor-grootschalige-windenergie/D22080193-Raadsbesluit-Gebiedskeuze-voor-grootschalige-windenergie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99" meta:character-count="734" meta:non-whitespace-character-count="6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255588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255588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