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1" text:style-name="Internet_20_link" text:visited-style-name="Visited_20_Internet_20_Link">
              <text:span text:style-name="ListLabel_20_28">
                <text:span text:style-name="T8">1 Financiële schade 2022 van WoerdenSport ten gevolge van corona (20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1"/>
        Financiële schade 2022 van WoerdenSport ten gevolge van corona (20 mei 2022)
        <text:bookmark-end text:name="1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D22055068 RV - Financiële schade 2022 van WoerdenSport ten gevolge van corona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459,82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5068-RV-Financiele-schade-2022-van-WoerdenSport-ten-gevolge-van-corona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D22058908 Raadsbesluit - Financiële schade 2022 van WoerdenSport ten gevolge van corona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88,50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58908-Raadsbesluit-Financiele-schade-2022-van-WoerdenSport-ten-gevolge-van-coron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D22055068 Raadsvoorstel - Financiële schade 2022 van WoerdenSport ten gevolge van corona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353,59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5068-Raadsvoorstel-Financiele-schade-2022-van-WoerdenSport-ten-gevolge-van-corona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D22058908 RB - Financiële schade 2022 van WoerdenSport ten gevolge van corona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13-06-2022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113,20 KB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8908-RB-Financiele-schade-2022-van-WoerdenSport-ten-gevolge-van-coron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28" meta:character-count="815" meta:non-whitespace-character-count="7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1562451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1562451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