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97" w:history="1">
        <w:r>
          <w:rPr>
            <w:rFonts w:ascii="Arial" w:hAnsi="Arial" w:eastAsia="Arial" w:cs="Arial"/>
            <w:color w:val="155CAA"/>
            <w:u w:val="single"/>
          </w:rPr>
          <w:t xml:space="preserve">1 Extra krediet project Rembrandtbrug (27 oktober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97"/>
      <w:r w:rsidRPr="00A448AC">
        <w:rPr>
          <w:rFonts w:ascii="Arial" w:hAnsi="Arial" w:cs="Arial"/>
          <w:b/>
          <w:bCs/>
          <w:color w:val="303F4C"/>
          <w:lang w:val="en-US"/>
        </w:rPr>
        <w:t>Extra krediet project Rembrandtbrug (27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D22075692 RV - Extra krediet project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518,59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D22075692 Raadsvoorstel - Extra krediet project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518,59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2/03-november/19:00/Geen-titel-opgegeven-2/D22075692-RV-Extra-krediet-project-Rembrandtbrug.pdf" TargetMode="External" /><Relationship Id="rId25" Type="http://schemas.openxmlformats.org/officeDocument/2006/relationships/hyperlink" Target="http://gemeenteraad.woerden.nl//Vergaderingen/Politieke-avond/2022/24-november/20:00/Raadsvoorstellen-Extra-krediet-Rembrandtbrug-en-Gewijzigde-vaststelling-bestemmingsplan-Rembrandtbrug/D22075692-RV-Extra-krediet-project-Rembrandtbrug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