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45" text:style-name="Internet_20_link" text:visited-style-name="Visited_20_Internet_20_Link">
              <text:span text:style-name="ListLabel_20_28">
                <text:span text:style-name="T8">1 D22056080 Raadsvoorstel | Beslissing op bezwaar (13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45"/>
        D22056080 Raadsvoorstel | Beslissing op bezwaar (13 april 2022)
        <text:bookmark-end text:name="1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D22056080 Raadsvoorstel | Beslissing op bezwaar
              <text:span text:style-name="T3"/>
            </text:p>
            <text:p text:style-name="P7"/>
          </table:table-cell>
          <table:table-cell table:style-name="Table4.A2" office:value-type="string">
            <text:p text:style-name="P8">13-04-2022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6080-Raadsvoorstel-Beslissing-op-bezwaa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D22056080 Raadsvoorstel | Beslissing op bezwaar
              <text:span text:style-name="T3"/>
            </text:p>
            <text:p text:style-name="P7"/>
          </table:table-cell>
          <table:table-cell table:style-name="Table4.A2" office:value-type="string">
            <text:p text:style-name="P8">20-04-2022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6080-Raadsvoorstel-Beslissing-op-bezwaar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D22056090 Raadsbesluit - Beslissing op bezwaar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108,25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6090-RB-Beslissing-op-bezwaa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6" meta:character-count="566" meta:non-whitespace-character-count="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1289051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1289051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