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27" w:history="1">
        <w:r>
          <w:rPr>
            <w:rFonts w:ascii="Arial" w:hAnsi="Arial" w:eastAsia="Arial" w:cs="Arial"/>
            <w:color w:val="155CAA"/>
            <w:u w:val="single"/>
          </w:rPr>
          <w:t xml:space="preserve">1 Bestemmingsplan Hof van Harmelen (12 januari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27"/>
      <w:r w:rsidRPr="00A448AC">
        <w:rPr>
          <w:rFonts w:ascii="Arial" w:hAnsi="Arial" w:cs="Arial"/>
          <w:b/>
          <w:bCs/>
          <w:color w:val="303F4C"/>
          <w:lang w:val="en-US"/>
        </w:rPr>
        <w:t>Bestemmingsplan Hof van Harmelen (12 januari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D21045377 Raadsvoorstel | Bestemmingsplan Hof van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D21045377 RV - Bestemmingsplan Hof van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3/19-januari/19:00/Raadsvoorstel-Vaststellen-gewijzigd-bestemmingsplan-Hof-van-Harmelen/D21045377-Raadsvoorstel-Bestemmingsplan-Hof-van-Harmelen-1.pdf" TargetMode="External" /><Relationship Id="rId25" Type="http://schemas.openxmlformats.org/officeDocument/2006/relationships/hyperlink" Target="http://gemeenteraad.woerden.nl//Vergaderingen/Gemeenteraad/2023/23-februari/20:00/Raadsvoorstel-Bestemmingsplan-Hof-van-Harmelen/D21045377-RV-Bestemmingsplan-Hof-van-Harmel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