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9" text:style-name="Internet_20_link" text:visited-style-name="Visited_20_Internet_20_Link">
              <text:span text:style-name="ListLabel_20_28">
                <text:span text:style-name="T8">1 Bekrachtiging geheimhouding op MPG 2022, de bijlage jaarschijven 2022, de bijlage Kredietaanvraag 2022-2023 (16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9"/>
        Bekrachtiging geheimhouding op MPG 2022, de bijlage jaarschijven 2022, de bijlage Kredietaanvraag 2022-2023 (16 juni 2022)
        <text:bookmark-end text:name="1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D22062765 Raadsvoorstel - Bekrachtiging geheimhouding op MPG 2022, de bijlage Jaarschijven 2022, de bijlage Kredietaanvraag 2022 – 2023
              <text:span text:style-name="T3"/>
            </text:p>
            <text:p text:style-name="P7"/>
          </table:table-cell>
          <table:table-cell table:style-name="Table4.A2" office:value-type="string">
            <text:p text:style-name="P8">16-06-2022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301,90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D22062765-Raadsvoorstel-Bekrachtiging-geheimhouding-op-MPG-2022-de-bijlage-Jaarschijven-2022-de-bijlage-Kredietaanvraag-2022-202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D22062766 Raadsbesluit MGP 2022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149,88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D22062766-Raadsbesluit-MGP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83" meta:non-whitespace-character-count="6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