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p text:style-name="Standard">
        <text:a xlink:type="simple" xlink:href="#407" text:style-name="Internet_20_link" text:visited-style-name="Visited_20_Internet_20_Link">
          <text:span text:style-name="ListLabel_20_28">
            <text:span text:style-name="T8">1 Windenergie Reijerscop-uitspraak Raad van State over de mogelijkheden voor bewoners om te participeren en te </text:span>
          </text:span>
        </text:a>
      </text:p>
      <text:list text:style-name="WW8Num1">
        <text:list-item>
          <text:p text:style-name="P2" loext:marker-style-name="T5">
            <text:a xlink:type="simple" xlink:href="#407" text:style-name="Internet_20_link" text:visited-style-name="Visited_20_Internet_20_Link">
              <text:span text:style-name="ListLabel_20_28">
                <text:span text:style-name="T8">
                  <text:s/>
                  procederen (1 november)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7"/>
        Windenergie Reijerscop-uitspraak Raad van State over de mogelijkheden voor bewoners om te participeren en te 
        <text:s/>
        procederen (1 november)
        <text:bookmark-end text:name="4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01-11-2023 17:03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Windenergie Reijerscop uitspraak RvS over de mogelijkheden voor bewoners om te participeren en te procederen - D23122767
              <text:span text:style-name="T3"/>
            </text:p>
            <text:p text:style-name="P7"/>
          </table:table-cell>
          <table:table-cell table:style-name="Table4.A2" office:value-type="string">
            <text:p text:style-name="P8">01-11-2023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187,14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Windenergie-Reijerscop-uitspraak-RvS-over-de-mogelijkheden-voor-bewoners-om-te-participeren-en-te-procederen-D2312276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8" meta:word-count="92" meta:character-count="638" meta:non-whitespace-character-count="5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