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9" w:history="1">
        <w:r>
          <w:rPr>
            <w:rFonts w:ascii="Arial" w:hAnsi="Arial" w:eastAsia="Arial" w:cs="Arial"/>
            <w:color w:val="155CAA"/>
            <w:u w:val="single"/>
          </w:rPr>
          <w:t xml:space="preserve">1 Windenergie Reijerscop - ontwerp nieuwe landelijke milieunormen (2 november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9"/>
      <w:r w:rsidRPr="00A448AC">
        <w:rPr>
          <w:rFonts w:ascii="Arial" w:hAnsi="Arial" w:cs="Arial"/>
          <w:b/>
          <w:bCs/>
          <w:color w:val="303F4C"/>
          <w:lang w:val="en-US"/>
        </w:rPr>
        <w:t>Windenergie Reijerscop - ontwerp nieuwe landelijke milieunormen (2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 15:38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Windenergie Reijerscop - ontwerp nieuwe landelijke milieunormen 20231024 - D23123566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240,15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Windenergie-Reijerscop-ontwerp-nieuwe-landelijke-milieunormen-20231024-D2312356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