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19:24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09" text:style-name="Internet_20_link" text:visited-style-name="Visited_20_Internet_20_Link">
              <text:span text:style-name="ListLabel_20_28">
                <text:span text:style-name="T8">1 Windenergie Reijerscop - ontwerp nieuwe landelijke milieunormen (2 november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09"/>
        Windenergie Reijerscop - ontwerp nieuwe landelijke milieunormen (2 november 2023)
        <text:bookmark-end text:name="40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02-11-2023 15:38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Windenergie Reijerscop - ontwerp nieuwe landelijke milieunormen 20231024 - D23123566
              <text:span text:style-name="T3"/>
            </text:p>
            <text:p text:style-name="P7"/>
          </table:table-cell>
          <table:table-cell table:style-name="Table4.A2" office:value-type="string">
            <text:p text:style-name="P8">02-11-2023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240,15 KB</text:p>
          </table:table-cell>
          <table:table-cell table:style-name="Table4.A2" office:value-type="string">
            <text:p text:style-name="P33">
              <text:a xlink:type="simple" xlink:href="http://gemeenteraad.woerden.nl//Stukken/Raadsinformatiebrief/RIB-Windenergie-Reijerscop-ontwerp-nieuwe-landelijke-milieunormen-20231024-D2312356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9" meta:character-count="498" meta:non-whitespace-character-count="45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799528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799528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