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82" w:history="1">
        <w:r>
          <w:rPr>
            <w:rFonts w:ascii="Arial" w:hAnsi="Arial" w:eastAsia="Arial" w:cs="Arial"/>
            <w:color w:val="155CAA"/>
            <w:u w:val="single"/>
          </w:rPr>
          <w:t xml:space="preserve">1 Werkelijke inzet van het budget voor organisatieversterking (4 december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82"/>
      <w:r w:rsidRPr="00A448AC">
        <w:rPr>
          <w:rFonts w:ascii="Arial" w:hAnsi="Arial" w:cs="Arial"/>
          <w:b/>
          <w:bCs/>
          <w:color w:val="303F4C"/>
          <w:lang w:val="en-US"/>
        </w:rPr>
        <w:t>Werkelijke inzet van het budget voor organisatieversterking (4 december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04-12-2024 14:21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Werkelijke inzet van het budget voor organisatieversterking D24161850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212,62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Overzicht functies organisatieversterking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51,99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Werkelijke-inzet-van-het-budget-voor-organisatieversterking-D24161850.pdf" TargetMode="External" /><Relationship Id="rId25" Type="http://schemas.openxmlformats.org/officeDocument/2006/relationships/hyperlink" Target="http://gemeenteraad.woerden.nl//Stukken/Overzicht-functies-organisatieversterkin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