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7" w:history="1">
        <w:r>
          <w:rPr>
            <w:rFonts w:ascii="Arial" w:hAnsi="Arial" w:eastAsia="Arial" w:cs="Arial"/>
            <w:color w:val="155CAA"/>
            <w:u w:val="single"/>
          </w:rPr>
          <w:t xml:space="preserve">1 Vervallen van het Bestuursarrangement voor de provincie Utrecht (9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7"/>
      <w:r w:rsidRPr="00A448AC">
        <w:rPr>
          <w:rFonts w:ascii="Arial" w:hAnsi="Arial" w:cs="Arial"/>
          <w:b/>
          <w:bCs/>
          <w:color w:val="303F4C"/>
          <w:lang w:val="en-US"/>
        </w:rPr>
        <w:t>Vervallen van het Bestuursarrangement voor de provincie Utrecht (9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Vervallen van het Bestuursarrangement voor de provincie Utrecht D24141212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Commissaris van de Koning provincie Utrecht aan colleges inzake Bestuursarrangement D24141205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ervallen-van-het-Bestuursarrangement-voor-de-provincie-Utrecht-D24141212.pdf" TargetMode="External" /><Relationship Id="rId25" Type="http://schemas.openxmlformats.org/officeDocument/2006/relationships/hyperlink" Target="http://gemeenteraad.woerden.nl//Stukken/Bijlage-1-Brief-van-Commissaris-van-de-Koning-provincie-Utrecht-aan-colleges-inzake-Bestuursarrangement-D2414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