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70" text:style-name="Internet_20_link" text:visited-style-name="Visited_20_Internet_20_Link">
              <text:span text:style-name="ListLabel_20_28">
                <text:span text:style-name="T8">1 Verkeer Ambachtsheerelaan als gevolg van Hof van Harmelen (14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70"/>
        Verkeer Ambachtsheerelaan als gevolg van Hof van Harmelen (14 maart 2024)
        <text:bookmark-end text:name="5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14-03-2024 11:18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Verkeer Ambachtsheerelaan als gevolg van Hof van Harmelen D24138119
              <text:span text:style-name="T3"/>
            </text:p>
            <text:p text:style-name="P7"/>
          </table:table-cell>
          <table:table-cell table:style-name="Table4.A2" office:value-type="string">
            <text:p text:style-name="P8">14-03-2024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171,95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Verkeer-Ambachtsheerelaan-als-gevolg-van-Hof-van-Harmelen-D241381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65" meta:non-whitespace-character-count="4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2041984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2041984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