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1" w:history="1">
        <w:r>
          <w:rPr>
            <w:rFonts w:ascii="Arial" w:hAnsi="Arial" w:eastAsia="Arial" w:cs="Arial"/>
            <w:color w:val="155CAA"/>
            <w:u w:val="single"/>
          </w:rPr>
          <w:t xml:space="preserve">1 Tussentijdse informatie over het gebiedsproces Windenergie Reijerscop Themafase I en II (15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1"/>
      <w:r w:rsidRPr="00A448AC">
        <w:rPr>
          <w:rFonts w:ascii="Arial" w:hAnsi="Arial" w:cs="Arial"/>
          <w:b/>
          <w:bCs/>
          <w:color w:val="303F4C"/>
          <w:lang w:val="en-US"/>
        </w:rPr>
        <w:t>Tussentijdse informatie over het gebiedsproces Windenergie Reijerscop Themafase I en II (15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15-03-2024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Tussentijdse informatie over het gebiedsproces Windenergie Reijerscop Themafase I en II D24136575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Tussentijdse-informatie-over-het-gebiedsproces-Windenergie-Reijerscop-Themafase-I-en-II-D2413657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