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0" w:history="1">
        <w:r>
          <w:rPr>
            <w:rFonts w:ascii="Arial" w:hAnsi="Arial" w:eastAsia="Arial" w:cs="Arial"/>
            <w:color w:val="155CAA"/>
            <w:u w:val="single"/>
          </w:rPr>
          <w:t xml:space="preserve">1 Toekenning provinciale subsidie van €687.416 voor Versnelling Woningbouw Woerden (26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0"/>
      <w:r w:rsidRPr="00A448AC">
        <w:rPr>
          <w:rFonts w:ascii="Arial" w:hAnsi="Arial" w:cs="Arial"/>
          <w:b/>
          <w:bCs/>
          <w:color w:val="303F4C"/>
          <w:lang w:val="en-US"/>
        </w:rPr>
        <w:t>Toekenning provinciale subsidie van €687.416 voor Versnelling Woningbouw Woerden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Toekenning provinciale subsidie van €687.416 voor Versnelling Woningbouw Woerden D25176312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Toekenning-provinciale-subsidie-van-687-416-voor-Versnelling-Woningbouw-Woerden-D251763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