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1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opvang en huisvesting voor vluchtelingen en statushouders (21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1"/>
      <w:r w:rsidRPr="00A448AC">
        <w:rPr>
          <w:rFonts w:ascii="Arial" w:hAnsi="Arial" w:cs="Arial"/>
          <w:b/>
          <w:bCs/>
          <w:color w:val="303F4C"/>
          <w:lang w:val="en-US"/>
        </w:rPr>
        <w:t>Stand van zaken opvang en huisvesting voor vluchtelingen en statushouders (21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opvang en huisvesting voor vluchtelingen en statushouders - D23130068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Minister De Jonge en Staatssecretaris Van der Burg 'Uitplaatsing gekoppelde statushouders voor eind 2023' - D2313009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Stand-van-zaken-opvang-en-huisvesting-voor-vluchtelingen-en-statushouders-D23130068.pdf" TargetMode="External" /><Relationship Id="rId25" Type="http://schemas.openxmlformats.org/officeDocument/2006/relationships/hyperlink" Target="http://gemeenteraad.woerden.nl//Stukken/Raadsinformatiebrief/Bijlage-1-Brief-Minister-De-Jonge-en-Staatssecretaris-Van-der-Burg-Uitplaatsing-gekoppelde-statushouders-voor-eind-2023-D23130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