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8" text:style-name="Internet_20_link" text:visited-style-name="Visited_20_Internet_20_Link">
              <text:span text:style-name="ListLabel_20_28">
                <text:span text:style-name="T8">1 Reactie college op de kadernota 2024 en GGU proporties van de VNG voor de ALV 2023 (7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8"/>
        Reactie college op de kadernota 2024 en GGU proporties van de VNG voor de ALV 2023 (7 juni 2023)
        <text:bookmark-end text:name="3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15:08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D23109215 Raadsinformatiebrief - Reactie college op de kadernota 2024 en GGU proposities van de VNG voor de ALV 2023 
              <text:span text:style-name="T3"/>
            </text:p>
            <text:p text:style-name="P7"/>
          </table:table-cell>
          <table:table-cell table:style-name="Table4.A2" office:value-type="string">
            <text:p text:style-name="P8">07-06-2023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208,78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Algemene-Ledenvergadering-VNG/D23109215-Raadsinformatiebrief-Reactie-college-op-de-kadernota-2024-en-GGU-proposities-van-de-VNG-voor-de-ALV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557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