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08" text:style-name="Internet_20_link" text:visited-style-name="Visited_20_Internet_20_Link">
              <text:span text:style-name="ListLabel_20_28">
                <text:span text:style-name="T8">1 Proces en planning financieel scenario voor het beheer van de openbare ruimte (17april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08"/>
        Proces en planning financieel scenario voor het beheer van de openbare ruimte (17april 2025)
        <text:bookmark-end text:name="90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17-04-2025 11:00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Proces en planning financieel scenario voor het beheer van de openbare ruimte D25179251
              <text:span text:style-name="T3"/>
            </text:p>
            <text:p text:style-name="P7"/>
          </table:table-cell>
          <table:table-cell table:style-name="Table4.A2" office:value-type="string">
            <text:p text:style-name="P8">17-04-2025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178,06 KB</text:p>
          </table:table-cell>
          <table:table-cell table:style-name="Table4.A2" office:value-type="string">
            <text:p text:style-name="P33">
              <text:a xlink:type="simple" xlink:href="http://gemeenteraad.woerden.nl//Stukken/RIB-Proces-en-planning-financieel-scenario-voor-het-beheer-van-de-openbare-ruimte-D2517925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Procesplanning Herijking IBOR 2024-2025
              <text:span text:style-name="T3"/>
            </text:p>
            <text:p text:style-name="P7"/>
          </table:table-cell>
          <table:table-cell table:style-name="Table4.A2" office:value-type="string">
            <text:p text:style-name="P8">17-04-2025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213,42 KB</text:p>
          </table:table-cell>
          <table:table-cell table:style-name="Table4.A2" office:value-type="string">
            <text:p text:style-name="P33">
              <text:a xlink:type="simple" xlink:href="http://gemeenteraad.woerden.nl//Stukken/Bijlage-1-Procesplanning-Herijking-IBOR-2024-2025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2" meta:character-count="604" meta:non-whitespace-character-count="5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833075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833075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