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4" text:style-name="Internet_20_link" text:visited-style-name="Visited_20_Internet_20_Link">
              <text:span text:style-name="ListLabel_20_28">
                <text:span text:style-name="T8">1 Plan van aanpak voor de evaluatie van de dienstverleningsovereenkomst tussen Oudewater en Woerden (8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4"/>
        Plan van aanpak voor de evaluatie van de dienstverleningsovereenkomst tussen Oudewater en Woerden (8 februari 2024)
        <text:bookmark-end text:name="5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Plan van aanpak voor de evaluatie van de dienstverleningsovereenkomst tussen Oudewater en Woerden - D24134154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173,28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Plan-van-aanpak-voor-de-evaluatie-van-de-dienstverleningsovereenkomst-tussen-Oudewater-en-Woerden-D2413415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Plan van aanpak evaluatie DVO Oudewater en Woerden - D24131580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4.A2" office:value-type="string">
            <text:p text:style-name="P33">
              <text:a xlink:type="simple" xlink:href="http://gemeenteraad.woerden.nl//Stukken/Bijlage-Plan-van-aanpak-evaluatie-DVO-Oudewater-en-Woerden-D2413158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3" meta:character-count="690" meta:non-whitespace-character-count="6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