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9" w:history="1">
        <w:r>
          <w:rPr>
            <w:rFonts w:ascii="Arial" w:hAnsi="Arial" w:eastAsia="Arial" w:cs="Arial"/>
            <w:color w:val="155CAA"/>
            <w:u w:val="single"/>
          </w:rPr>
          <w:t xml:space="preserve">1 Jaarverslag Regionaal Bureau Leerplicht &amp;amp; Doorstroompunt Utrecht Noordwest 2023-2024 (14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9"/>
      <w:r w:rsidRPr="00A448AC">
        <w:rPr>
          <w:rFonts w:ascii="Arial" w:hAnsi="Arial" w:cs="Arial"/>
          <w:b/>
          <w:bCs/>
          <w:color w:val="303F4C"/>
          <w:lang w:val="en-US"/>
        </w:rPr>
        <w:t>Jaarverslag Regionaal Bureau Leerplicht &amp;amp; Doorstroompunt Utrecht Noordwest 2023-2024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Regionaal Bureau Leerplicht en Doorstroompunt Utrecht Noordwest 2023-2024 D24165578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Jaarverslag 2023-2024-D25178845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Jaarverslag-Regionaal-Bureau-Leerplicht-en-Doorstroompunt-Utrecht-Noordwest-2023-2024-D24165578.pdf" TargetMode="External" /><Relationship Id="rId25" Type="http://schemas.openxmlformats.org/officeDocument/2006/relationships/hyperlink" Target="http://gemeenteraad.woerden.nl//Stukken/Bijlage-1-Jaarverslag-2023-2024-D2517884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