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18:25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02" text:style-name="Internet_20_link" text:visited-style-name="Visited_20_Internet_20_Link">
              <text:span text:style-name="ListLabel_20_28">
                <text:span text:style-name="T8">1 Ervaringen eerste jaar Omgevingswet en vooruitblik 2025 en verder (19 december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02"/>
        Ervaringen eerste jaar Omgevingswet en vooruitblik 2025 en verder (19 december 2024)
        <text:bookmark-end text:name="80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19-12-2024 15:01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Ervaringen eerste jaar Omgevingswet en vooruitblik 2025 en verder D24165527
              <text:span text:style-name="T3"/>
            </text:p>
            <text:p text:style-name="P7"/>
          </table:table-cell>
          <table:table-cell table:style-name="Table4.A2" office:value-type="string">
            <text:p text:style-name="P8">19-12-2024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203,55 KB</text:p>
          </table:table-cell>
          <table:table-cell table:style-name="Table4.A2" office:value-type="string">
            <text:p text:style-name="P33">
              <text:a xlink:type="simple" xlink:href="http://gemeenteraad.woerden.nl//Stukken/RIB-Ervaringen-eerste-jaar-Omgevingswet-en-vooruitblik-2025-en-verder-D241655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3" meta:character-count="495" meta:non-whitespace-character-count="4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1581646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1581646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