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87" text:style-name="Internet_20_link" text:visited-style-name="Visited_20_Internet_20_Link">
              <text:span text:style-name="ListLabel_20_28">
                <text:span text:style-name="T8">1 Definitieve uitkomst reële tarievenonderzoek jeugd, Wmo en HH 2024 (11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87"/>
        Definitieve uitkomst reële tarievenonderzoek jeugd, Wmo en HH 2024 (11 december 2024)
        <text:bookmark-end text:name="78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11-12-2024 15:14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Definitieve uitkomst reële tarievenonderzoek jeugd, Wmo en HH 2024 D24164561
              <text:span text:style-name="T3"/>
            </text:p>
            <text:p text:style-name="P7"/>
          </table:table-cell>
          <table:table-cell table:style-name="Table4.A2" office:value-type="string">
            <text:p text:style-name="P8">11-12-2024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174,83 KB</text:p>
          </table:table-cell>
          <table:table-cell table:style-name="Table4.A2" office:value-type="string">
            <text:p text:style-name="P33">
              <text:a xlink:type="simple" xlink:href="http://gemeenteraad.woerden.nl//Stukken/RIB-Definitieve-uitkomst-reele-tarievenonderzoek-jeugd-Wmo-en-HH-2024-D2416456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498" meta:non-whitespace-character-count="4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1869294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1869294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