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1" w:history="1">
        <w:r>
          <w:rPr>
            <w:rFonts w:ascii="Arial" w:hAnsi="Arial" w:eastAsia="Arial" w:cs="Arial"/>
            <w:color w:val="155CAA"/>
            <w:u w:val="single"/>
          </w:rPr>
          <w:t xml:space="preserve">1 Bestuurlijke reactie op boardletter accountant (14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1"/>
      <w:r w:rsidRPr="00A448AC">
        <w:rPr>
          <w:rFonts w:ascii="Arial" w:hAnsi="Arial" w:cs="Arial"/>
          <w:b/>
          <w:bCs/>
          <w:color w:val="303F4C"/>
          <w:lang w:val="en-US"/>
        </w:rPr>
        <w:t>Bestuurlijke reactie op boardletter accountant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Bestuurlijke reactie op boardletter accountant D25174706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bestuurlijke reactie op de boardletter van de accountant D25174768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Bestuurlijke-reactie-op-boardletter-accountant-D25174706.pdf" TargetMode="External" /><Relationship Id="rId25" Type="http://schemas.openxmlformats.org/officeDocument/2006/relationships/hyperlink" Target="http://gemeenteraad.woerden.nl//Stukken/Bijlage-bij-bestuurlijke-reactie-op-de-boardletter-van-de-accountant-D2517476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