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3" w:history="1">
        <w:r>
          <w:rPr>
            <w:rFonts w:ascii="Arial" w:hAnsi="Arial" w:eastAsia="Arial" w:cs="Arial"/>
            <w:color w:val="155CAA"/>
            <w:u w:val="single"/>
          </w:rPr>
          <w:t xml:space="preserve">1 Beheer openbare ruimte (BOR) zomerupdate 2024 (1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3"/>
      <w:r w:rsidRPr="00A448AC">
        <w:rPr>
          <w:rFonts w:ascii="Arial" w:hAnsi="Arial" w:cs="Arial"/>
          <w:b/>
          <w:bCs/>
          <w:color w:val="303F4C"/>
          <w:lang w:val="en-US"/>
        </w:rPr>
        <w:t>Beheer openbare ruimte (BOR) zomerupdate 2024 (1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Beheer openbare ruimte (BOR) zomerupdate 2024 D24152395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Beheer openbare ruimte (BOR) zomerupdate 2024 D24152386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914,69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Beheer-openbare-ruimte-BOR-zomerupdate-2024-D24152395.pdf" TargetMode="External" /><Relationship Id="rId25" Type="http://schemas.openxmlformats.org/officeDocument/2006/relationships/hyperlink" Target="http://gemeenteraad.woerden.nl//Stukken/Bijlage-1-Beheer-openbare-ruimte-BOR-zomerupdate-2024-D2415238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