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9" w:history="1">
        <w:r>
          <w:rPr>
            <w:rFonts w:ascii="Arial" w:hAnsi="Arial" w:eastAsia="Arial" w:cs="Arial"/>
            <w:color w:val="155CAA"/>
            <w:u w:val="single"/>
          </w:rPr>
          <w:t xml:space="preserve">1 Aanbesteding en definitief maximaal bouwbudget nieuwbouw R. de Jagerschool (15 januari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9"/>
      <w:r w:rsidRPr="00A448AC">
        <w:rPr>
          <w:rFonts w:ascii="Arial" w:hAnsi="Arial" w:cs="Arial"/>
          <w:b/>
          <w:bCs/>
          <w:color w:val="303F4C"/>
          <w:lang w:val="en-US"/>
        </w:rPr>
        <w:t>Aanbesteding en definitief maximaal bouwbudget nieuwbouw R. de Jagerschool (15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 14:58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Aanbesteding en definitief maximaal bouwbudget nieuwbouw R. de Jagerschool D24166846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Overzicht van de kostenbesparende keuzes nieuwbouw R. de Jagerschool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3,57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Aanbesteding-en-definitief-maximaal-bouwbudget-nieuwbouw-R-de-Jagerschool-D24166846.pdf" TargetMode="External" /><Relationship Id="rId25" Type="http://schemas.openxmlformats.org/officeDocument/2006/relationships/hyperlink" Target="http://gemeenteraad.woerden.nl//Stukken/Bijlage-1-Overzicht-van-de-kostenbesparende-keuzes-nieuwbouw-R-de-Jagerschool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